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F0" w:rsidRPr="00382DDA" w:rsidRDefault="007C1EF0" w:rsidP="007C1EF0">
      <w:pPr>
        <w:spacing w:after="160" w:line="259" w:lineRule="auto"/>
        <w:jc w:val="center"/>
        <w:rPr>
          <w:sz w:val="24"/>
          <w:szCs w:val="24"/>
          <w:lang w:val="uk-UA" w:eastAsia="uk-UA"/>
        </w:rPr>
      </w:pPr>
      <w:r w:rsidRPr="00382DDA">
        <w:rPr>
          <w:b/>
          <w:bCs/>
          <w:color w:val="000000"/>
          <w:sz w:val="24"/>
          <w:szCs w:val="24"/>
          <w:lang w:val="uk-UA" w:eastAsia="uk-UA"/>
        </w:rPr>
        <w:t>ТЕСТ </w:t>
      </w:r>
      <w:r w:rsidRPr="00382DDA">
        <w:rPr>
          <w:sz w:val="24"/>
          <w:szCs w:val="24"/>
          <w:lang w:val="uk-UA" w:eastAsia="uk-UA"/>
        </w:rPr>
        <w:br/>
      </w:r>
      <w:r w:rsidRPr="00382DDA">
        <w:rPr>
          <w:b/>
          <w:bCs/>
          <w:color w:val="000000"/>
          <w:sz w:val="24"/>
          <w:szCs w:val="24"/>
          <w:lang w:val="uk-UA" w:eastAsia="uk-UA"/>
        </w:rPr>
        <w:t>малого підприємництва (М-Тест)</w:t>
      </w: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 xml:space="preserve">1. Консультації з представниками </w:t>
      </w:r>
      <w:proofErr w:type="spellStart"/>
      <w:r w:rsidRPr="00115A6D">
        <w:rPr>
          <w:sz w:val="24"/>
          <w:szCs w:val="24"/>
          <w:lang w:val="uk-UA" w:eastAsia="uk-UA"/>
        </w:rPr>
        <w:t>мікро-</w:t>
      </w:r>
      <w:proofErr w:type="spellEnd"/>
      <w:r w:rsidRPr="00115A6D">
        <w:rPr>
          <w:sz w:val="24"/>
          <w:szCs w:val="24"/>
          <w:lang w:val="uk-UA" w:eastAsia="uk-UA"/>
        </w:rPr>
        <w:t xml:space="preserve"> та малого підприємництва щодо оцінки впливу регулювання</w:t>
      </w:r>
    </w:p>
    <w:p w:rsidR="007C1EF0" w:rsidRPr="00496C7C" w:rsidRDefault="007C1EF0" w:rsidP="007C1EF0">
      <w:pPr>
        <w:spacing w:after="150"/>
        <w:ind w:firstLine="450"/>
        <w:jc w:val="both"/>
        <w:rPr>
          <w:sz w:val="24"/>
          <w:szCs w:val="24"/>
          <w:lang w:val="uk-UA" w:eastAsia="uk-UA"/>
        </w:rPr>
      </w:pPr>
      <w:r w:rsidRPr="00115A6D">
        <w:rPr>
          <w:sz w:val="24"/>
          <w:szCs w:val="24"/>
          <w:lang w:val="uk-UA"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496C7C">
        <w:rPr>
          <w:sz w:val="24"/>
          <w:szCs w:val="24"/>
          <w:lang w:val="uk-UA" w:eastAsia="uk-UA"/>
        </w:rPr>
        <w:t>з “</w:t>
      </w:r>
      <w:r>
        <w:rPr>
          <w:sz w:val="24"/>
          <w:szCs w:val="24"/>
          <w:lang w:val="uk-UA" w:eastAsia="uk-UA"/>
        </w:rPr>
        <w:t>01</w:t>
      </w:r>
      <w:r w:rsidRPr="00496C7C">
        <w:rPr>
          <w:sz w:val="24"/>
          <w:szCs w:val="24"/>
          <w:lang w:val="uk-UA" w:eastAsia="uk-UA"/>
        </w:rPr>
        <w:t xml:space="preserve">” </w:t>
      </w:r>
      <w:r>
        <w:rPr>
          <w:sz w:val="24"/>
          <w:szCs w:val="24"/>
          <w:lang w:val="uk-UA" w:eastAsia="uk-UA"/>
        </w:rPr>
        <w:t>червня 2019</w:t>
      </w:r>
      <w:r w:rsidRPr="00496C7C">
        <w:rPr>
          <w:sz w:val="24"/>
          <w:szCs w:val="24"/>
          <w:lang w:val="uk-UA" w:eastAsia="uk-UA"/>
        </w:rPr>
        <w:t xml:space="preserve"> р. по “</w:t>
      </w:r>
      <w:r>
        <w:rPr>
          <w:sz w:val="24"/>
          <w:szCs w:val="24"/>
          <w:lang w:val="uk-UA" w:eastAsia="uk-UA"/>
        </w:rPr>
        <w:t>01</w:t>
      </w:r>
      <w:r w:rsidRPr="00496C7C">
        <w:rPr>
          <w:sz w:val="24"/>
          <w:szCs w:val="24"/>
          <w:lang w:val="uk-UA" w:eastAsia="uk-UA"/>
        </w:rPr>
        <w:t xml:space="preserve">” </w:t>
      </w:r>
      <w:r>
        <w:rPr>
          <w:sz w:val="24"/>
          <w:szCs w:val="24"/>
          <w:lang w:val="uk-UA" w:eastAsia="uk-UA"/>
        </w:rPr>
        <w:t>серпня</w:t>
      </w:r>
      <w:r w:rsidRPr="00496C7C">
        <w:rPr>
          <w:sz w:val="24"/>
          <w:szCs w:val="24"/>
          <w:lang w:val="uk-UA" w:eastAsia="uk-UA"/>
        </w:rPr>
        <w:t xml:space="preserve"> 2019 р.</w:t>
      </w:r>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627"/>
        <w:gridCol w:w="3733"/>
        <w:gridCol w:w="1818"/>
        <w:gridCol w:w="2200"/>
      </w:tblGrid>
      <w:tr w:rsidR="007C1EF0" w:rsidRPr="00115A6D" w:rsidTr="005F0005">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Порядковий номер</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 xml:space="preserve">Вид консультації (публічні консультації прямі (круглі столи, наради, робочі зустрічі тощо), </w:t>
            </w:r>
            <w:proofErr w:type="spellStart"/>
            <w:r w:rsidRPr="00115A6D">
              <w:rPr>
                <w:sz w:val="24"/>
                <w:szCs w:val="24"/>
                <w:lang w:val="uk-UA" w:eastAsia="uk-UA"/>
              </w:rPr>
              <w:t>інтернет-консультації</w:t>
            </w:r>
            <w:proofErr w:type="spellEnd"/>
            <w:r w:rsidRPr="00115A6D">
              <w:rPr>
                <w:sz w:val="24"/>
                <w:szCs w:val="24"/>
                <w:lang w:val="uk-UA" w:eastAsia="uk-UA"/>
              </w:rPr>
              <w:t xml:space="preserve"> прямі (</w:t>
            </w:r>
            <w:proofErr w:type="spellStart"/>
            <w:r w:rsidRPr="00115A6D">
              <w:rPr>
                <w:sz w:val="24"/>
                <w:szCs w:val="24"/>
                <w:lang w:val="uk-UA" w:eastAsia="uk-UA"/>
              </w:rPr>
              <w:t>інтернет-форуми</w:t>
            </w:r>
            <w:proofErr w:type="spellEnd"/>
            <w:r w:rsidRPr="00115A6D">
              <w:rPr>
                <w:sz w:val="24"/>
                <w:szCs w:val="24"/>
                <w:lang w:val="uk-UA" w:eastAsia="uk-UA"/>
              </w:rPr>
              <w:t>, соціальні мережі тощо), запити (до підприємців, експертів, науковців тощо)</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Кількість учасників консультацій, осіб</w:t>
            </w:r>
          </w:p>
        </w:tc>
        <w:tc>
          <w:tcPr>
            <w:tcW w:w="1173" w:type="pct"/>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Основні результати консультацій (опис)</w:t>
            </w:r>
          </w:p>
        </w:tc>
      </w:tr>
      <w:tr w:rsidR="007C1EF0" w:rsidRPr="00115A6D" w:rsidTr="005F0005">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1</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Запит до відділу фінансів та планування</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1</w:t>
            </w:r>
          </w:p>
        </w:tc>
        <w:tc>
          <w:tcPr>
            <w:tcW w:w="1173" w:type="pct"/>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Отримана інформація по суті (про кількість підприємців)</w:t>
            </w:r>
          </w:p>
        </w:tc>
      </w:tr>
      <w:tr w:rsidR="007C1EF0" w:rsidRPr="00892EAE" w:rsidTr="005F0005">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2</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Робочі зустрічі з підприємцями та жителями, телефонні розмови</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6</w:t>
            </w:r>
          </w:p>
        </w:tc>
        <w:tc>
          <w:tcPr>
            <w:tcW w:w="1173" w:type="pct"/>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 xml:space="preserve">Обговорено проблемні питання у сфері благоустрою території та вироблення дієвих шляхів їх розв’язання, зокрема отримано інформацію щодо витрат підприємців та жителів на виконання вимог регулювання. </w:t>
            </w:r>
          </w:p>
        </w:tc>
      </w:tr>
    </w:tbl>
    <w:p w:rsidR="007C1EF0" w:rsidRDefault="007C1EF0" w:rsidP="007C1EF0">
      <w:pPr>
        <w:spacing w:after="150"/>
        <w:ind w:firstLine="450"/>
        <w:jc w:val="both"/>
        <w:rPr>
          <w:sz w:val="24"/>
          <w:szCs w:val="24"/>
          <w:lang w:val="uk-UA" w:eastAsia="uk-UA"/>
        </w:rPr>
      </w:pP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2. Вимірювання впливу регулювання на суб’єктів малого підприємництва (</w:t>
      </w:r>
      <w:proofErr w:type="spellStart"/>
      <w:r w:rsidRPr="00115A6D">
        <w:rPr>
          <w:sz w:val="24"/>
          <w:szCs w:val="24"/>
          <w:lang w:val="uk-UA" w:eastAsia="uk-UA"/>
        </w:rPr>
        <w:t>мікро-</w:t>
      </w:r>
      <w:proofErr w:type="spellEnd"/>
      <w:r w:rsidRPr="00115A6D">
        <w:rPr>
          <w:sz w:val="24"/>
          <w:szCs w:val="24"/>
          <w:lang w:val="uk-UA" w:eastAsia="uk-UA"/>
        </w:rPr>
        <w:t xml:space="preserve"> та малі):</w:t>
      </w: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 xml:space="preserve">кількість суб’єктів малого підприємництва, на яких поширюється регулювання: </w:t>
      </w:r>
      <w:r>
        <w:rPr>
          <w:sz w:val="24"/>
          <w:szCs w:val="24"/>
          <w:lang w:val="uk-UA" w:eastAsia="uk-UA"/>
        </w:rPr>
        <w:t>207</w:t>
      </w:r>
      <w:r w:rsidRPr="00115A6D">
        <w:rPr>
          <w:sz w:val="24"/>
          <w:szCs w:val="24"/>
          <w:lang w:val="uk-UA" w:eastAsia="uk-UA"/>
        </w:rPr>
        <w:t xml:space="preserve"> (одиниць), у тому числі малого підприємництва </w:t>
      </w:r>
      <w:r>
        <w:rPr>
          <w:sz w:val="24"/>
          <w:szCs w:val="24"/>
          <w:lang w:val="uk-UA" w:eastAsia="uk-UA"/>
        </w:rPr>
        <w:t>0</w:t>
      </w:r>
      <w:r w:rsidRPr="00115A6D">
        <w:rPr>
          <w:sz w:val="24"/>
          <w:szCs w:val="24"/>
          <w:lang w:val="uk-UA" w:eastAsia="uk-UA"/>
        </w:rPr>
        <w:t xml:space="preserve"> (одиниць) та </w:t>
      </w:r>
      <w:proofErr w:type="spellStart"/>
      <w:r w:rsidRPr="00115A6D">
        <w:rPr>
          <w:sz w:val="24"/>
          <w:szCs w:val="24"/>
          <w:lang w:val="uk-UA" w:eastAsia="uk-UA"/>
        </w:rPr>
        <w:t>мікропідприємництва</w:t>
      </w:r>
      <w:proofErr w:type="spellEnd"/>
      <w:r w:rsidRPr="00115A6D">
        <w:rPr>
          <w:sz w:val="24"/>
          <w:szCs w:val="24"/>
          <w:lang w:val="uk-UA" w:eastAsia="uk-UA"/>
        </w:rPr>
        <w:t xml:space="preserve"> </w:t>
      </w:r>
      <w:r>
        <w:rPr>
          <w:sz w:val="24"/>
          <w:szCs w:val="24"/>
          <w:lang w:val="uk-UA" w:eastAsia="uk-UA"/>
        </w:rPr>
        <w:t>207</w:t>
      </w:r>
      <w:r w:rsidRPr="00115A6D">
        <w:rPr>
          <w:sz w:val="24"/>
          <w:szCs w:val="24"/>
          <w:lang w:val="uk-UA" w:eastAsia="uk-UA"/>
        </w:rPr>
        <w:t xml:space="preserve"> (одиниць);</w:t>
      </w: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 xml:space="preserve">питома вага суб’єктів малого підприємництва у загальній кількості суб’єктів господарювання, на яких проблема справляє вплив </w:t>
      </w:r>
      <w:r>
        <w:rPr>
          <w:sz w:val="24"/>
          <w:szCs w:val="24"/>
          <w:lang w:val="uk-UA" w:eastAsia="uk-UA"/>
        </w:rPr>
        <w:t>100</w:t>
      </w:r>
      <w:r w:rsidRPr="00115A6D">
        <w:rPr>
          <w:sz w:val="24"/>
          <w:szCs w:val="24"/>
          <w:lang w:val="uk-UA" w:eastAsia="uk-UA"/>
        </w:rPr>
        <w:t xml:space="preserve"> (відсотків) (відповідно до таблиці </w:t>
      </w:r>
      <w:proofErr w:type="spellStart"/>
      <w:r w:rsidRPr="00115A6D">
        <w:rPr>
          <w:sz w:val="24"/>
          <w:szCs w:val="24"/>
          <w:lang w:val="uk-UA" w:eastAsia="uk-UA"/>
        </w:rPr>
        <w:t>“Оцінка</w:t>
      </w:r>
      <w:proofErr w:type="spellEnd"/>
      <w:r w:rsidRPr="00115A6D">
        <w:rPr>
          <w:sz w:val="24"/>
          <w:szCs w:val="24"/>
          <w:lang w:val="uk-UA" w:eastAsia="uk-UA"/>
        </w:rPr>
        <w:t xml:space="preserve"> впливу на сферу інтересів суб’єктів </w:t>
      </w:r>
      <w:proofErr w:type="spellStart"/>
      <w:r w:rsidRPr="00115A6D">
        <w:rPr>
          <w:sz w:val="24"/>
          <w:szCs w:val="24"/>
          <w:lang w:val="uk-UA" w:eastAsia="uk-UA"/>
        </w:rPr>
        <w:t>господарювання”</w:t>
      </w:r>
      <w:proofErr w:type="spellEnd"/>
      <w:r w:rsidRPr="00115A6D">
        <w:rPr>
          <w:sz w:val="24"/>
          <w:szCs w:val="24"/>
          <w:lang w:val="uk-UA" w:eastAsia="uk-UA"/>
        </w:rPr>
        <w:t xml:space="preserve"> додатка 1 до Методики проведення аналізу впливу регуляторного акта).</w:t>
      </w: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277"/>
        <w:gridCol w:w="3760"/>
        <w:gridCol w:w="1603"/>
        <w:gridCol w:w="1228"/>
        <w:gridCol w:w="1510"/>
      </w:tblGrid>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 xml:space="preserve">У перший рік (стартовий рік впровадження </w:t>
            </w:r>
            <w:r w:rsidRPr="00115A6D">
              <w:rPr>
                <w:sz w:val="24"/>
                <w:szCs w:val="24"/>
                <w:lang w:val="uk-UA" w:eastAsia="uk-UA"/>
              </w:rPr>
              <w:lastRenderedPageBreak/>
              <w:t>регулювання)</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 xml:space="preserve">Періодичні (за наступний </w:t>
            </w:r>
            <w:r w:rsidRPr="00115A6D">
              <w:rPr>
                <w:sz w:val="24"/>
                <w:szCs w:val="24"/>
                <w:lang w:val="uk-UA" w:eastAsia="uk-UA"/>
              </w:rPr>
              <w:lastRenderedPageBreak/>
              <w:t>рік)</w:t>
            </w:r>
          </w:p>
        </w:tc>
        <w:tc>
          <w:tcPr>
            <w:tcW w:w="550" w:type="pct"/>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Витрати за </w:t>
            </w:r>
            <w:r w:rsidRPr="00115A6D">
              <w:rPr>
                <w:sz w:val="24"/>
                <w:szCs w:val="24"/>
                <w:lang w:val="uk-UA" w:eastAsia="uk-UA"/>
              </w:rPr>
              <w:br/>
              <w:t>п’ять років</w:t>
            </w:r>
          </w:p>
        </w:tc>
      </w:tr>
      <w:tr w:rsidR="007C1EF0" w:rsidRPr="00115A6D" w:rsidTr="005F0005">
        <w:trPr>
          <w:trHeight w:val="1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 xml:space="preserve">Оцінка </w:t>
            </w:r>
            <w:proofErr w:type="spellStart"/>
            <w:r w:rsidRPr="00115A6D">
              <w:rPr>
                <w:sz w:val="24"/>
                <w:szCs w:val="24"/>
                <w:lang w:val="uk-UA" w:eastAsia="uk-UA"/>
              </w:rPr>
              <w:t>“прямих”</w:t>
            </w:r>
            <w:proofErr w:type="spellEnd"/>
            <w:r w:rsidRPr="00115A6D">
              <w:rPr>
                <w:sz w:val="24"/>
                <w:szCs w:val="24"/>
                <w:lang w:val="uk-UA" w:eastAsia="uk-UA"/>
              </w:rPr>
              <w:t xml:space="preserve"> витрат суб’єктів малого підприємництва на виконання регулювання</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Придбання необхідного обладнання (пристроїв, машин, механізмів)</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кількість необхідних одиниць обладнання Х вартість одиниці</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2</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повірки та/або постановки на відповідний облік у визначеному органі державної влади чи місцевого самоврядування</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3</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експлуатації обладнання (експлуатаційні витрати - витратні матеріали)</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4</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обслуговування обладнання (технічне обслуговування)</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w:t>
            </w:r>
            <w:r w:rsidRPr="00115A6D">
              <w:rPr>
                <w:i/>
                <w:iCs/>
                <w:color w:val="000000"/>
                <w:sz w:val="24"/>
                <w:szCs w:val="24"/>
                <w:lang w:val="uk-UA" w:eastAsia="uk-UA"/>
              </w:rPr>
              <w:lastRenderedPageBreak/>
              <w:t>суб’єкту малого підприємництва</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lastRenderedPageBreak/>
              <w:t>0</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5</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Інші процедури (</w:t>
            </w:r>
            <w:r>
              <w:rPr>
                <w:sz w:val="24"/>
                <w:szCs w:val="24"/>
                <w:lang w:val="uk-UA" w:eastAsia="uk-UA"/>
              </w:rPr>
              <w:t>придбання урн, засобів для прибирання</w:t>
            </w:r>
            <w:r w:rsidRPr="00115A6D">
              <w:rPr>
                <w:sz w:val="24"/>
                <w:szCs w:val="24"/>
                <w:lang w:val="uk-UA" w:eastAsia="uk-UA"/>
              </w:rPr>
              <w:t>)</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500</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2500</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6</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Разом, гривень</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(сума рядків 1 + 2 + 3 + 4 + 5)</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7</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207</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8</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Сумарно, гривень</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 xml:space="preserve">відповідний стовпчик </w:t>
            </w:r>
            <w:proofErr w:type="spellStart"/>
            <w:r w:rsidRPr="00115A6D">
              <w:rPr>
                <w:i/>
                <w:iCs/>
                <w:color w:val="000000"/>
                <w:sz w:val="24"/>
                <w:szCs w:val="24"/>
                <w:lang w:val="uk-UA" w:eastAsia="uk-UA"/>
              </w:rPr>
              <w:t>“разом”</w:t>
            </w:r>
            <w:proofErr w:type="spellEnd"/>
            <w:r w:rsidRPr="00115A6D">
              <w:rPr>
                <w:i/>
                <w:iCs/>
                <w:color w:val="000000"/>
                <w:sz w:val="24"/>
                <w:szCs w:val="24"/>
                <w:lang w:val="uk-UA" w:eastAsia="uk-UA"/>
              </w:rPr>
              <w:t xml:space="preserve"> Х  кількість суб’єктів малого підприємництва, що повинні виконати вимоги регулювання (рядок 6 Х рядок 7)</w:t>
            </w:r>
          </w:p>
        </w:tc>
        <w:tc>
          <w:tcPr>
            <w:tcW w:w="900" w:type="pct"/>
            <w:tcBorders>
              <w:top w:val="nil"/>
              <w:left w:val="nil"/>
              <w:bottom w:val="nil"/>
              <w:right w:val="nil"/>
            </w:tcBorders>
            <w:shd w:val="clear" w:color="auto" w:fill="auto"/>
            <w:hideMark/>
          </w:tcPr>
          <w:p w:rsidR="007C1EF0" w:rsidRDefault="007C1EF0" w:rsidP="005F0005">
            <w:pPr>
              <w:spacing w:before="150" w:after="150"/>
              <w:rPr>
                <w:sz w:val="24"/>
                <w:szCs w:val="24"/>
                <w:lang w:val="uk-UA" w:eastAsia="uk-UA"/>
              </w:rPr>
            </w:pPr>
            <w:r>
              <w:rPr>
                <w:sz w:val="24"/>
                <w:szCs w:val="24"/>
                <w:lang w:val="uk-UA" w:eastAsia="uk-UA"/>
              </w:rPr>
              <w:t>103500</w:t>
            </w:r>
          </w:p>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517500</w:t>
            </w:r>
          </w:p>
        </w:tc>
      </w:tr>
      <w:tr w:rsidR="007C1EF0" w:rsidRPr="00115A6D" w:rsidTr="005F0005">
        <w:trPr>
          <w:trHeight w:val="1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after="150"/>
              <w:ind w:firstLine="450"/>
              <w:jc w:val="both"/>
              <w:rPr>
                <w:sz w:val="24"/>
                <w:szCs w:val="24"/>
                <w:lang w:val="uk-UA" w:eastAsia="uk-UA"/>
              </w:rPr>
            </w:pPr>
            <w:r w:rsidRPr="00115A6D">
              <w:rPr>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9</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отримання первинної інформації про вимоги регулювання</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125</w:t>
            </w:r>
          </w:p>
        </w:tc>
      </w:tr>
      <w:tr w:rsidR="007C1EF0" w:rsidRPr="00892EAE"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10</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організації виконання вимог регулювання</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892EAE"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11</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офіційного звітування</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lastRenderedPageBreak/>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12</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Процедури щодо забезпечення процесу перевірок</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13</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Інші процедури (уточнити)</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14</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Разом, гривень</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(сума рядків 9 + 10 + 11 + 12 + 13)</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125</w:t>
            </w:r>
          </w:p>
        </w:tc>
      </w:tr>
      <w:tr w:rsidR="007C1EF0" w:rsidRPr="00317AFB"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15</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Кількість суб’єктів малого підприємництва, що повинні виконати вимоги регулювання, одиниць</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207</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207</w:t>
            </w:r>
          </w:p>
        </w:tc>
      </w:tr>
      <w:tr w:rsidR="007C1EF0" w:rsidRPr="00115A6D" w:rsidTr="005F0005">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16</w:t>
            </w:r>
          </w:p>
        </w:tc>
        <w:tc>
          <w:tcPr>
            <w:tcW w:w="2050" w:type="pct"/>
            <w:tcBorders>
              <w:top w:val="nil"/>
              <w:left w:val="single" w:sz="6" w:space="0" w:color="000000"/>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Сумарно, гривень</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Формула:</w:t>
            </w:r>
          </w:p>
          <w:p w:rsidR="007C1EF0" w:rsidRPr="00115A6D" w:rsidRDefault="007C1EF0" w:rsidP="005F0005">
            <w:pPr>
              <w:spacing w:before="150" w:after="150"/>
              <w:rPr>
                <w:sz w:val="24"/>
                <w:szCs w:val="24"/>
                <w:lang w:val="uk-UA" w:eastAsia="uk-UA"/>
              </w:rPr>
            </w:pPr>
            <w:r w:rsidRPr="00115A6D">
              <w:rPr>
                <w:i/>
                <w:iCs/>
                <w:color w:val="000000"/>
                <w:sz w:val="24"/>
                <w:szCs w:val="24"/>
                <w:lang w:val="uk-UA" w:eastAsia="uk-UA"/>
              </w:rPr>
              <w:t xml:space="preserve">відповідний стовпчик </w:t>
            </w:r>
            <w:proofErr w:type="spellStart"/>
            <w:r w:rsidRPr="00115A6D">
              <w:rPr>
                <w:i/>
                <w:iCs/>
                <w:color w:val="000000"/>
                <w:sz w:val="24"/>
                <w:szCs w:val="24"/>
                <w:lang w:val="uk-UA" w:eastAsia="uk-UA"/>
              </w:rPr>
              <w:t>“разом”</w:t>
            </w:r>
            <w:proofErr w:type="spellEnd"/>
            <w:r w:rsidRPr="00115A6D">
              <w:rPr>
                <w:i/>
                <w:iCs/>
                <w:color w:val="000000"/>
                <w:sz w:val="24"/>
                <w:szCs w:val="24"/>
                <w:lang w:val="uk-UA" w:eastAsia="uk-UA"/>
              </w:rPr>
              <w:t xml:space="preserve"> Х кількість суб’єктів малого підприємництва, що повинні виконати вимоги регулювання </w:t>
            </w:r>
            <w:r w:rsidRPr="00115A6D">
              <w:rPr>
                <w:i/>
                <w:iCs/>
                <w:color w:val="000000"/>
                <w:sz w:val="24"/>
                <w:szCs w:val="24"/>
                <w:lang w:val="uk-UA" w:eastAsia="uk-UA"/>
              </w:rPr>
              <w:lastRenderedPageBreak/>
              <w:t>(рядок 14 Х рядок 15)</w:t>
            </w:r>
          </w:p>
        </w:tc>
        <w:tc>
          <w:tcPr>
            <w:tcW w:w="9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lastRenderedPageBreak/>
              <w:t>5175</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25875</w:t>
            </w:r>
          </w:p>
        </w:tc>
      </w:tr>
    </w:tbl>
    <w:p w:rsidR="007C1EF0" w:rsidRPr="00115A6D" w:rsidRDefault="007C1EF0" w:rsidP="007C1EF0">
      <w:pPr>
        <w:spacing w:after="150"/>
        <w:ind w:left="450" w:right="450"/>
        <w:jc w:val="center"/>
        <w:rPr>
          <w:sz w:val="24"/>
          <w:szCs w:val="24"/>
          <w:lang w:val="uk-UA" w:eastAsia="uk-UA"/>
        </w:rPr>
      </w:pPr>
      <w:bookmarkStart w:id="0" w:name="n208"/>
      <w:bookmarkEnd w:id="0"/>
      <w:r w:rsidRPr="00115A6D">
        <w:rPr>
          <w:sz w:val="24"/>
          <w:szCs w:val="24"/>
          <w:lang w:val="uk-UA" w:eastAsia="uk-UA"/>
        </w:rPr>
        <w:lastRenderedPageBreak/>
        <w:t>Бюджетні витрати на адміністрування регулювання суб’єктів малого підприємництва</w:t>
      </w:r>
    </w:p>
    <w:p w:rsidR="007C1EF0" w:rsidRPr="00115A6D" w:rsidRDefault="007C1EF0" w:rsidP="007C1EF0">
      <w:pPr>
        <w:spacing w:after="150"/>
        <w:ind w:firstLine="450"/>
        <w:jc w:val="both"/>
        <w:rPr>
          <w:sz w:val="24"/>
          <w:szCs w:val="24"/>
          <w:lang w:val="uk-UA" w:eastAsia="uk-UA"/>
        </w:rPr>
      </w:pPr>
      <w:r w:rsidRPr="00115A6D">
        <w:rPr>
          <w:sz w:val="24"/>
          <w:szCs w:val="24"/>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7C1EF0" w:rsidRPr="00115A6D" w:rsidRDefault="007C1EF0" w:rsidP="007C1EF0">
      <w:pPr>
        <w:spacing w:after="150"/>
        <w:ind w:firstLine="450"/>
        <w:jc w:val="both"/>
        <w:rPr>
          <w:sz w:val="24"/>
          <w:szCs w:val="24"/>
          <w:lang w:val="uk-UA" w:eastAsia="uk-UA"/>
        </w:rPr>
      </w:pPr>
      <w:bookmarkStart w:id="1" w:name="n210"/>
      <w:bookmarkEnd w:id="1"/>
      <w:r w:rsidRPr="00115A6D">
        <w:rPr>
          <w:sz w:val="24"/>
          <w:szCs w:val="24"/>
          <w:lang w:val="uk-UA" w:eastAsia="uk-UA"/>
        </w:rPr>
        <w:t>Державний орган, для якого здійснюється розрахунок вартості адміністрування регулювання:</w:t>
      </w:r>
    </w:p>
    <w:p w:rsidR="007C1EF0" w:rsidRPr="00115A6D" w:rsidRDefault="007C1EF0" w:rsidP="007C1EF0">
      <w:pPr>
        <w:spacing w:after="150"/>
        <w:ind w:left="450" w:right="450"/>
        <w:jc w:val="center"/>
        <w:rPr>
          <w:sz w:val="24"/>
          <w:szCs w:val="24"/>
          <w:lang w:val="uk-UA" w:eastAsia="uk-UA"/>
        </w:rPr>
      </w:pPr>
      <w:bookmarkStart w:id="2" w:name="n211"/>
      <w:bookmarkEnd w:id="2"/>
      <w:r w:rsidRPr="00115A6D">
        <w:rPr>
          <w:sz w:val="24"/>
          <w:szCs w:val="24"/>
          <w:lang w:val="uk-UA" w:eastAsia="uk-UA"/>
        </w:rPr>
        <w:t>____________________________________________________ </w:t>
      </w:r>
      <w:r w:rsidRPr="00115A6D">
        <w:rPr>
          <w:sz w:val="24"/>
          <w:szCs w:val="24"/>
          <w:lang w:val="uk-UA" w:eastAsia="uk-UA"/>
        </w:rPr>
        <w:br/>
      </w:r>
      <w:r w:rsidRPr="00115A6D">
        <w:rPr>
          <w:color w:val="000000"/>
          <w:lang w:val="uk-UA" w:eastAsia="uk-UA"/>
        </w:rP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495"/>
        <w:gridCol w:w="1110"/>
        <w:gridCol w:w="1453"/>
        <w:gridCol w:w="1259"/>
        <w:gridCol w:w="1356"/>
        <w:gridCol w:w="1705"/>
      </w:tblGrid>
      <w:tr w:rsidR="007C1EF0" w:rsidRPr="00115A6D" w:rsidTr="005F0005">
        <w:tc>
          <w:tcPr>
            <w:tcW w:w="1600" w:type="pct"/>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bookmarkStart w:id="3" w:name="n212"/>
            <w:bookmarkEnd w:id="3"/>
            <w:r w:rsidRPr="00115A6D">
              <w:rPr>
                <w:sz w:val="24"/>
                <w:szCs w:val="24"/>
                <w:lang w:val="uk-UA"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115A6D">
              <w:rPr>
                <w:sz w:val="24"/>
                <w:szCs w:val="24"/>
                <w:lang w:val="uk-UA" w:eastAsia="uk-UA"/>
              </w:rPr>
              <w:t>мікро-підприємництв</w:t>
            </w:r>
            <w:proofErr w:type="spellEnd"/>
            <w:r w:rsidRPr="00115A6D">
              <w:rPr>
                <w:sz w:val="24"/>
                <w:szCs w:val="24"/>
                <w:lang w:val="uk-UA" w:eastAsia="uk-UA"/>
              </w:rPr>
              <w:t>)</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Планові витрати часу на процедуру</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Вартість часу співробітника органу державної влади відповідної категорії (заробітна плата)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Оцінка кількості процедур за рік,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Оцінка кількості  суб’єктів, що підпадають під дію процедури регулювання</w:t>
            </w:r>
          </w:p>
        </w:tc>
        <w:tc>
          <w:tcPr>
            <w:tcW w:w="600" w:type="pct"/>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Витрати на адміністрування регулювання* (за рік), гривень</w:t>
            </w:r>
          </w:p>
        </w:tc>
      </w:tr>
      <w:tr w:rsidR="007C1EF0" w:rsidRPr="00115A6D" w:rsidTr="005F0005">
        <w:tc>
          <w:tcPr>
            <w:tcW w:w="160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1. Облік суб’єкта господарювання, що перебуває у сфері регулювання</w:t>
            </w:r>
          </w:p>
        </w:tc>
        <w:tc>
          <w:tcPr>
            <w:tcW w:w="60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2. Поточний контроль за суб’єктом господарювання, що перебуває у сфері регулювання, у тому числі:</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камеральні</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виїзні</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3. Підготовка, затвердження та опрацювання одного окремого акта про порушення вимог регулювання</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4. Реалізація одного окремого рішення щодо порушення вимог регулювання</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 xml:space="preserve">5. Оскарження одного окремого рішення </w:t>
            </w:r>
            <w:r w:rsidRPr="00115A6D">
              <w:rPr>
                <w:sz w:val="24"/>
                <w:szCs w:val="24"/>
                <w:lang w:val="uk-UA" w:eastAsia="uk-UA"/>
              </w:rPr>
              <w:lastRenderedPageBreak/>
              <w:t>суб’єктами господарювання</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lastRenderedPageBreak/>
              <w:t>0,5</w:t>
            </w: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166</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w:t>
            </w:r>
          </w:p>
        </w:tc>
        <w:tc>
          <w:tcPr>
            <w:tcW w:w="700" w:type="pct"/>
            <w:tcBorders>
              <w:top w:val="nil"/>
              <w:left w:val="nil"/>
              <w:bottom w:val="nil"/>
              <w:right w:val="nil"/>
            </w:tcBorders>
            <w:shd w:val="clear" w:color="auto" w:fill="auto"/>
            <w:hideMark/>
          </w:tcPr>
          <w:p w:rsidR="007C1EF0" w:rsidRDefault="007C1EF0" w:rsidP="005F0005">
            <w:pPr>
              <w:spacing w:before="150" w:after="150"/>
              <w:rPr>
                <w:sz w:val="24"/>
                <w:szCs w:val="24"/>
                <w:lang w:val="uk-UA" w:eastAsia="uk-UA"/>
              </w:rPr>
            </w:pPr>
            <w:r>
              <w:rPr>
                <w:sz w:val="24"/>
                <w:szCs w:val="24"/>
                <w:lang w:val="uk-UA" w:eastAsia="uk-UA"/>
              </w:rPr>
              <w:t>4 од</w:t>
            </w:r>
          </w:p>
          <w:p w:rsidR="007C1EF0" w:rsidRPr="00115A6D" w:rsidRDefault="007C1EF0" w:rsidP="005F0005">
            <w:pPr>
              <w:spacing w:before="150" w:after="150"/>
              <w:rPr>
                <w:sz w:val="24"/>
                <w:szCs w:val="24"/>
                <w:lang w:val="uk-UA" w:eastAsia="uk-UA"/>
              </w:rPr>
            </w:pPr>
            <w:r>
              <w:rPr>
                <w:sz w:val="24"/>
                <w:szCs w:val="24"/>
                <w:lang w:val="uk-UA" w:eastAsia="uk-UA"/>
              </w:rPr>
              <w:lastRenderedPageBreak/>
              <w:t>(орієнтовно 10 % від кількості суб’єктів щодо яких прийнято рішення про порушення)</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lastRenderedPageBreak/>
              <w:t>332,00</w:t>
            </w: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lastRenderedPageBreak/>
              <w:t>6. Підготовка звітності за результатами регулювання</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0,05</w:t>
            </w: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166</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w:t>
            </w:r>
          </w:p>
        </w:tc>
        <w:tc>
          <w:tcPr>
            <w:tcW w:w="700" w:type="pct"/>
            <w:tcBorders>
              <w:top w:val="nil"/>
              <w:left w:val="nil"/>
              <w:bottom w:val="nil"/>
              <w:right w:val="nil"/>
            </w:tcBorders>
            <w:shd w:val="clear" w:color="auto" w:fill="auto"/>
            <w:hideMark/>
          </w:tcPr>
          <w:p w:rsidR="007C1EF0" w:rsidRDefault="007C1EF0" w:rsidP="005F0005">
            <w:pPr>
              <w:spacing w:before="150" w:after="150"/>
              <w:rPr>
                <w:sz w:val="24"/>
                <w:szCs w:val="24"/>
                <w:lang w:val="uk-UA" w:eastAsia="uk-UA"/>
              </w:rPr>
            </w:pPr>
            <w:r>
              <w:rPr>
                <w:sz w:val="24"/>
                <w:szCs w:val="24"/>
                <w:lang w:val="uk-UA" w:eastAsia="uk-UA"/>
              </w:rPr>
              <w:t>21 од.</w:t>
            </w:r>
          </w:p>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174,3</w:t>
            </w: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7. Інші адміністративні процедури (уточнити): </w:t>
            </w:r>
            <w:r w:rsidRPr="00115A6D">
              <w:rPr>
                <w:sz w:val="24"/>
                <w:szCs w:val="24"/>
                <w:lang w:val="uk-UA" w:eastAsia="uk-UA"/>
              </w:rPr>
              <w:br/>
              <w:t>__________________ </w:t>
            </w:r>
            <w:r w:rsidRPr="00115A6D">
              <w:rPr>
                <w:sz w:val="24"/>
                <w:szCs w:val="24"/>
                <w:lang w:val="uk-UA" w:eastAsia="uk-UA"/>
              </w:rPr>
              <w:br/>
              <w:t>__________________</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Разом за рік</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65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506,3</w:t>
            </w:r>
          </w:p>
        </w:tc>
      </w:tr>
      <w:tr w:rsidR="007C1EF0" w:rsidRPr="00115A6D" w:rsidTr="005F0005">
        <w:tc>
          <w:tcPr>
            <w:tcW w:w="1600" w:type="pct"/>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Сумарно за п’ять років</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65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Х</w:t>
            </w:r>
          </w:p>
        </w:tc>
        <w:tc>
          <w:tcPr>
            <w:tcW w:w="600" w:type="pct"/>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Pr>
                <w:sz w:val="24"/>
                <w:szCs w:val="24"/>
                <w:lang w:val="uk-UA" w:eastAsia="uk-UA"/>
              </w:rPr>
              <w:t>2531,5</w:t>
            </w:r>
          </w:p>
        </w:tc>
      </w:tr>
    </w:tbl>
    <w:p w:rsidR="007C1EF0" w:rsidRPr="00115A6D" w:rsidRDefault="007C1EF0" w:rsidP="007C1EF0">
      <w:pPr>
        <w:spacing w:after="150"/>
        <w:jc w:val="both"/>
        <w:rPr>
          <w:sz w:val="24"/>
          <w:szCs w:val="24"/>
          <w:lang w:val="uk-UA" w:eastAsia="uk-UA"/>
        </w:rPr>
      </w:pPr>
      <w:bookmarkStart w:id="4" w:name="n213"/>
      <w:bookmarkEnd w:id="4"/>
      <w:r w:rsidRPr="00115A6D">
        <w:rPr>
          <w:color w:val="000000"/>
          <w:lang w:val="uk-UA" w:eastAsia="uk-UA"/>
        </w:rPr>
        <w:t>__________</w:t>
      </w:r>
      <w:r w:rsidRPr="00115A6D">
        <w:rPr>
          <w:sz w:val="24"/>
          <w:szCs w:val="24"/>
          <w:lang w:val="uk-UA" w:eastAsia="uk-UA"/>
        </w:rPr>
        <w:t> </w:t>
      </w:r>
      <w:r w:rsidRPr="00115A6D">
        <w:rPr>
          <w:sz w:val="24"/>
          <w:szCs w:val="24"/>
          <w:lang w:val="uk-UA" w:eastAsia="uk-UA"/>
        </w:rPr>
        <w:br/>
      </w:r>
      <w:r w:rsidRPr="00115A6D">
        <w:rPr>
          <w:color w:val="000000"/>
          <w:lang w:val="uk-UA"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C1EF0" w:rsidRPr="00115A6D" w:rsidRDefault="007C1EF0" w:rsidP="007C1EF0">
      <w:pPr>
        <w:spacing w:after="150"/>
        <w:ind w:firstLine="450"/>
        <w:jc w:val="both"/>
        <w:rPr>
          <w:sz w:val="24"/>
          <w:szCs w:val="24"/>
          <w:lang w:val="uk-UA" w:eastAsia="uk-UA"/>
        </w:rPr>
      </w:pPr>
      <w:bookmarkStart w:id="5" w:name="n214"/>
      <w:bookmarkStart w:id="6" w:name="n216"/>
      <w:bookmarkEnd w:id="5"/>
      <w:bookmarkEnd w:id="6"/>
      <w:r w:rsidRPr="00115A6D">
        <w:rPr>
          <w:sz w:val="24"/>
          <w:szCs w:val="24"/>
          <w:lang w:val="uk-UA"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413"/>
        <w:gridCol w:w="3369"/>
        <w:gridCol w:w="2360"/>
        <w:gridCol w:w="2236"/>
      </w:tblGrid>
      <w:tr w:rsidR="007C1EF0" w:rsidRPr="00115A6D" w:rsidTr="005F0005">
        <w:tc>
          <w:tcPr>
            <w:tcW w:w="1365" w:type="dxa"/>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bookmarkStart w:id="7" w:name="n217"/>
            <w:bookmarkEnd w:id="7"/>
            <w:r w:rsidRPr="00115A6D">
              <w:rPr>
                <w:sz w:val="24"/>
                <w:szCs w:val="24"/>
                <w:lang w:val="uk-UA" w:eastAsia="uk-UA"/>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Показник</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Перший рік регулювання (стартовий)</w:t>
            </w:r>
          </w:p>
        </w:tc>
        <w:tc>
          <w:tcPr>
            <w:tcW w:w="2160" w:type="dxa"/>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За п’ять років</w:t>
            </w:r>
          </w:p>
        </w:tc>
      </w:tr>
      <w:tr w:rsidR="007C1EF0" w:rsidRPr="00115A6D" w:rsidTr="005F0005">
        <w:tc>
          <w:tcPr>
            <w:tcW w:w="1365" w:type="dxa"/>
            <w:tcBorders>
              <w:top w:val="single" w:sz="6" w:space="0" w:color="000000"/>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1</w:t>
            </w:r>
          </w:p>
        </w:tc>
        <w:tc>
          <w:tcPr>
            <w:tcW w:w="3255" w:type="dxa"/>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 xml:space="preserve">Оцінка </w:t>
            </w:r>
            <w:proofErr w:type="spellStart"/>
            <w:r w:rsidRPr="00115A6D">
              <w:rPr>
                <w:sz w:val="24"/>
                <w:szCs w:val="24"/>
                <w:lang w:val="uk-UA" w:eastAsia="uk-UA"/>
              </w:rPr>
              <w:t>“прямих”</w:t>
            </w:r>
            <w:proofErr w:type="spellEnd"/>
            <w:r w:rsidRPr="00115A6D">
              <w:rPr>
                <w:sz w:val="24"/>
                <w:szCs w:val="24"/>
                <w:lang w:val="uk-UA" w:eastAsia="uk-UA"/>
              </w:rPr>
              <w:t xml:space="preserve"> витрат суб’єктів малого підприємництва на виконання регулювання</w:t>
            </w:r>
          </w:p>
        </w:tc>
        <w:tc>
          <w:tcPr>
            <w:tcW w:w="2280" w:type="dxa"/>
            <w:tcBorders>
              <w:top w:val="single" w:sz="6" w:space="0" w:color="000000"/>
              <w:left w:val="nil"/>
              <w:bottom w:val="nil"/>
              <w:right w:val="nil"/>
            </w:tcBorders>
            <w:shd w:val="clear" w:color="auto" w:fill="auto"/>
            <w:hideMark/>
          </w:tcPr>
          <w:p w:rsidR="007C1EF0" w:rsidRDefault="007C1EF0" w:rsidP="005F0005">
            <w:pPr>
              <w:spacing w:before="150" w:after="150"/>
              <w:rPr>
                <w:sz w:val="24"/>
                <w:szCs w:val="24"/>
                <w:lang w:val="uk-UA" w:eastAsia="uk-UA"/>
              </w:rPr>
            </w:pPr>
            <w:r>
              <w:rPr>
                <w:sz w:val="24"/>
                <w:szCs w:val="24"/>
                <w:lang w:val="uk-UA" w:eastAsia="uk-UA"/>
              </w:rPr>
              <w:t>103500</w:t>
            </w:r>
          </w:p>
          <w:p w:rsidR="007C1EF0" w:rsidRPr="00115A6D" w:rsidRDefault="007C1EF0" w:rsidP="005F0005">
            <w:pPr>
              <w:spacing w:before="150" w:after="150"/>
              <w:rPr>
                <w:sz w:val="24"/>
                <w:szCs w:val="24"/>
                <w:lang w:val="uk-UA" w:eastAsia="uk-UA"/>
              </w:rPr>
            </w:pPr>
          </w:p>
        </w:tc>
        <w:tc>
          <w:tcPr>
            <w:tcW w:w="2160" w:type="dxa"/>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517500</w:t>
            </w:r>
          </w:p>
        </w:tc>
      </w:tr>
      <w:tr w:rsidR="007C1EF0" w:rsidRPr="00115A6D" w:rsidTr="005F0005">
        <w:tc>
          <w:tcPr>
            <w:tcW w:w="1365" w:type="dxa"/>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2</w:t>
            </w:r>
          </w:p>
        </w:tc>
        <w:tc>
          <w:tcPr>
            <w:tcW w:w="325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5175</w:t>
            </w:r>
          </w:p>
        </w:tc>
        <w:tc>
          <w:tcPr>
            <w:tcW w:w="216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25875</w:t>
            </w:r>
          </w:p>
        </w:tc>
      </w:tr>
      <w:tr w:rsidR="007C1EF0" w:rsidRPr="00115A6D" w:rsidTr="005F0005">
        <w:tc>
          <w:tcPr>
            <w:tcW w:w="1365" w:type="dxa"/>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3</w:t>
            </w:r>
          </w:p>
        </w:tc>
        <w:tc>
          <w:tcPr>
            <w:tcW w:w="325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w:t>
            </w:r>
          </w:p>
        </w:tc>
        <w:tc>
          <w:tcPr>
            <w:tcW w:w="228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108675</w:t>
            </w:r>
          </w:p>
        </w:tc>
        <w:tc>
          <w:tcPr>
            <w:tcW w:w="216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543375</w:t>
            </w:r>
          </w:p>
        </w:tc>
      </w:tr>
      <w:tr w:rsidR="007C1EF0" w:rsidRPr="00317AFB" w:rsidTr="005F0005">
        <w:tc>
          <w:tcPr>
            <w:tcW w:w="1365" w:type="dxa"/>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4</w:t>
            </w:r>
          </w:p>
        </w:tc>
        <w:tc>
          <w:tcPr>
            <w:tcW w:w="325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506,3</w:t>
            </w:r>
          </w:p>
        </w:tc>
        <w:tc>
          <w:tcPr>
            <w:tcW w:w="216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2531,5</w:t>
            </w:r>
          </w:p>
        </w:tc>
      </w:tr>
      <w:tr w:rsidR="007C1EF0" w:rsidRPr="00115A6D" w:rsidTr="005F0005">
        <w:tc>
          <w:tcPr>
            <w:tcW w:w="1365" w:type="dxa"/>
            <w:tcBorders>
              <w:top w:val="nil"/>
              <w:left w:val="nil"/>
              <w:bottom w:val="nil"/>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lastRenderedPageBreak/>
              <w:t>5</w:t>
            </w:r>
          </w:p>
        </w:tc>
        <w:tc>
          <w:tcPr>
            <w:tcW w:w="325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Сумарні витрати на виконання запланованого регулювання</w:t>
            </w:r>
          </w:p>
        </w:tc>
        <w:tc>
          <w:tcPr>
            <w:tcW w:w="228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109181,3</w:t>
            </w:r>
          </w:p>
        </w:tc>
        <w:tc>
          <w:tcPr>
            <w:tcW w:w="2160"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543400,0</w:t>
            </w:r>
          </w:p>
        </w:tc>
      </w:tr>
    </w:tbl>
    <w:p w:rsidR="007C1EF0" w:rsidRPr="00115A6D" w:rsidRDefault="007C1EF0" w:rsidP="007C1EF0">
      <w:pPr>
        <w:spacing w:after="150"/>
        <w:ind w:firstLine="450"/>
        <w:jc w:val="both"/>
        <w:rPr>
          <w:sz w:val="24"/>
          <w:szCs w:val="24"/>
          <w:lang w:val="uk-UA" w:eastAsia="uk-UA"/>
        </w:rPr>
      </w:pPr>
      <w:bookmarkStart w:id="8" w:name="n218"/>
      <w:bookmarkEnd w:id="8"/>
      <w:r w:rsidRPr="00115A6D">
        <w:rPr>
          <w:sz w:val="24"/>
          <w:szCs w:val="24"/>
          <w:lang w:val="uk-UA" w:eastAsia="uk-UA"/>
        </w:rPr>
        <w:t xml:space="preserve">5. Розроблення </w:t>
      </w:r>
      <w:proofErr w:type="spellStart"/>
      <w:r w:rsidRPr="00115A6D">
        <w:rPr>
          <w:sz w:val="24"/>
          <w:szCs w:val="24"/>
          <w:lang w:val="uk-UA" w:eastAsia="uk-UA"/>
        </w:rPr>
        <w:t>корегуючих</w:t>
      </w:r>
      <w:proofErr w:type="spellEnd"/>
      <w:r w:rsidRPr="00115A6D">
        <w:rPr>
          <w:sz w:val="24"/>
          <w:szCs w:val="24"/>
          <w:lang w:val="uk-UA" w:eastAsia="uk-UA"/>
        </w:rPr>
        <w:t xml:space="preserve"> (пом’якшувальних) заходів для малого підприємництва щодо запропонованого регулювання</w:t>
      </w:r>
    </w:p>
    <w:p w:rsidR="007C1EF0" w:rsidRPr="00115A6D" w:rsidRDefault="007C1EF0" w:rsidP="007C1EF0">
      <w:pPr>
        <w:spacing w:after="150"/>
        <w:ind w:firstLine="450"/>
        <w:jc w:val="both"/>
        <w:rPr>
          <w:sz w:val="24"/>
          <w:szCs w:val="24"/>
          <w:lang w:val="uk-UA" w:eastAsia="uk-UA"/>
        </w:rPr>
      </w:pPr>
      <w:bookmarkStart w:id="9" w:name="n219"/>
      <w:bookmarkEnd w:id="9"/>
      <w:r>
        <w:rPr>
          <w:sz w:val="24"/>
          <w:szCs w:val="24"/>
          <w:lang w:val="uk-UA" w:eastAsia="uk-UA"/>
        </w:rPr>
        <w:t xml:space="preserve">З метою зменшення часу, необхідного для ознайомлення з актом, документ після його затвердження буде розміщено у вільному доступі на офіційному сайті сільської ради. Це дозволить скоротити час, необхідний для ознайомлення суб’єктів господарювання з актом орієнтовано на 15%, що у свою чергу скоротить витрати підприємництва. </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02"/>
        <w:gridCol w:w="2601"/>
        <w:gridCol w:w="2475"/>
      </w:tblGrid>
      <w:tr w:rsidR="007C1EF0" w:rsidRPr="00115A6D" w:rsidTr="005F0005">
        <w:tc>
          <w:tcPr>
            <w:tcW w:w="4095" w:type="dxa"/>
            <w:tcBorders>
              <w:top w:val="single" w:sz="6" w:space="0" w:color="000000"/>
              <w:left w:val="nil"/>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bookmarkStart w:id="10" w:name="n225"/>
            <w:bookmarkEnd w:id="10"/>
            <w:r w:rsidRPr="00115A6D">
              <w:rPr>
                <w:sz w:val="24"/>
                <w:szCs w:val="24"/>
                <w:lang w:val="uk-UA" w:eastAsia="uk-UA"/>
              </w:rPr>
              <w:t>Показник</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 за перший рік, гривень</w:t>
            </w:r>
          </w:p>
        </w:tc>
        <w:tc>
          <w:tcPr>
            <w:tcW w:w="2355" w:type="dxa"/>
            <w:tcBorders>
              <w:top w:val="single" w:sz="6" w:space="0" w:color="000000"/>
              <w:left w:val="single" w:sz="6" w:space="0" w:color="000000"/>
              <w:bottom w:val="single" w:sz="6" w:space="0" w:color="000000"/>
              <w:right w:val="nil"/>
            </w:tcBorders>
            <w:shd w:val="clear" w:color="auto" w:fill="auto"/>
            <w:hideMark/>
          </w:tcPr>
          <w:p w:rsidR="007C1EF0" w:rsidRPr="00115A6D" w:rsidRDefault="007C1EF0" w:rsidP="005F0005">
            <w:pPr>
              <w:spacing w:before="150" w:after="150"/>
              <w:jc w:val="center"/>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 </w:t>
            </w:r>
            <w:r w:rsidRPr="00115A6D">
              <w:rPr>
                <w:sz w:val="24"/>
                <w:szCs w:val="24"/>
                <w:lang w:val="uk-UA" w:eastAsia="uk-UA"/>
              </w:rPr>
              <w:br/>
              <w:t>за п’ять років, гривень</w:t>
            </w:r>
          </w:p>
        </w:tc>
      </w:tr>
      <w:tr w:rsidR="007C1EF0" w:rsidRPr="00115A6D" w:rsidTr="005F0005">
        <w:tc>
          <w:tcPr>
            <w:tcW w:w="4095" w:type="dxa"/>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Заплановане регулювання</w:t>
            </w:r>
          </w:p>
        </w:tc>
        <w:tc>
          <w:tcPr>
            <w:tcW w:w="2475" w:type="dxa"/>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109181,3</w:t>
            </w:r>
          </w:p>
        </w:tc>
        <w:tc>
          <w:tcPr>
            <w:tcW w:w="2355" w:type="dxa"/>
            <w:tcBorders>
              <w:top w:val="single" w:sz="6" w:space="0" w:color="000000"/>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543400,00</w:t>
            </w:r>
          </w:p>
        </w:tc>
      </w:tr>
      <w:tr w:rsidR="007C1EF0" w:rsidRPr="00115A6D" w:rsidTr="005F0005">
        <w:tc>
          <w:tcPr>
            <w:tcW w:w="409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sidRPr="00115A6D">
              <w:rPr>
                <w:sz w:val="24"/>
                <w:szCs w:val="24"/>
                <w:lang w:val="uk-UA" w:eastAsia="uk-UA"/>
              </w:rPr>
              <w:t>За умов застосування компенсаторних механізмів для малого підприємництва</w:t>
            </w:r>
          </w:p>
        </w:tc>
        <w:tc>
          <w:tcPr>
            <w:tcW w:w="247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108405,3</w:t>
            </w:r>
          </w:p>
        </w:tc>
        <w:tc>
          <w:tcPr>
            <w:tcW w:w="2355" w:type="dxa"/>
            <w:tcBorders>
              <w:top w:val="nil"/>
              <w:left w:val="nil"/>
              <w:bottom w:val="nil"/>
              <w:right w:val="nil"/>
            </w:tcBorders>
            <w:shd w:val="clear" w:color="auto" w:fill="auto"/>
            <w:hideMark/>
          </w:tcPr>
          <w:p w:rsidR="007C1EF0" w:rsidRPr="00115A6D" w:rsidRDefault="007C1EF0" w:rsidP="005F0005">
            <w:pPr>
              <w:spacing w:before="150" w:after="150"/>
              <w:rPr>
                <w:sz w:val="24"/>
                <w:szCs w:val="24"/>
                <w:lang w:val="uk-UA" w:eastAsia="uk-UA"/>
              </w:rPr>
            </w:pPr>
            <w:r>
              <w:rPr>
                <w:sz w:val="24"/>
                <w:szCs w:val="24"/>
                <w:lang w:val="uk-UA" w:eastAsia="uk-UA"/>
              </w:rPr>
              <w:t>539520,00</w:t>
            </w:r>
          </w:p>
        </w:tc>
      </w:tr>
      <w:tr w:rsidR="007C1EF0" w:rsidRPr="00115A6D" w:rsidTr="005F0005">
        <w:tc>
          <w:tcPr>
            <w:tcW w:w="4095" w:type="dxa"/>
            <w:tcBorders>
              <w:top w:val="nil"/>
              <w:left w:val="nil"/>
              <w:bottom w:val="nil"/>
              <w:right w:val="nil"/>
            </w:tcBorders>
            <w:shd w:val="clear" w:color="auto" w:fill="FFFFFF"/>
            <w:hideMark/>
          </w:tcPr>
          <w:p w:rsidR="007C1EF0" w:rsidRPr="00115A6D" w:rsidRDefault="007C1EF0" w:rsidP="005F0005">
            <w:pPr>
              <w:spacing w:before="150" w:after="150"/>
              <w:rPr>
                <w:color w:val="000000"/>
                <w:sz w:val="24"/>
                <w:szCs w:val="24"/>
                <w:lang w:val="uk-UA" w:eastAsia="uk-UA"/>
              </w:rPr>
            </w:pPr>
            <w:r w:rsidRPr="00115A6D">
              <w:rPr>
                <w:color w:val="000000"/>
                <w:sz w:val="24"/>
                <w:szCs w:val="24"/>
                <w:lang w:val="uk-UA" w:eastAsia="uk-UA"/>
              </w:rPr>
              <w:t>Сумарно: зміна вартості регулювання малого підприємництва</w:t>
            </w:r>
          </w:p>
        </w:tc>
        <w:tc>
          <w:tcPr>
            <w:tcW w:w="2475" w:type="dxa"/>
            <w:tcBorders>
              <w:top w:val="nil"/>
              <w:left w:val="nil"/>
              <w:bottom w:val="nil"/>
              <w:right w:val="nil"/>
            </w:tcBorders>
            <w:shd w:val="clear" w:color="auto" w:fill="FFFFFF"/>
            <w:hideMark/>
          </w:tcPr>
          <w:p w:rsidR="007C1EF0" w:rsidRPr="00115A6D" w:rsidRDefault="007C1EF0" w:rsidP="005F0005">
            <w:pPr>
              <w:rPr>
                <w:color w:val="000000"/>
                <w:sz w:val="24"/>
                <w:szCs w:val="24"/>
                <w:lang w:val="uk-UA" w:eastAsia="uk-UA"/>
              </w:rPr>
            </w:pPr>
            <w:r>
              <w:rPr>
                <w:color w:val="000000"/>
                <w:sz w:val="24"/>
                <w:szCs w:val="24"/>
                <w:lang w:val="uk-UA" w:eastAsia="uk-UA"/>
              </w:rPr>
              <w:t>776</w:t>
            </w:r>
          </w:p>
        </w:tc>
        <w:tc>
          <w:tcPr>
            <w:tcW w:w="0" w:type="auto"/>
            <w:shd w:val="clear" w:color="auto" w:fill="auto"/>
            <w:vAlign w:val="center"/>
            <w:hideMark/>
          </w:tcPr>
          <w:p w:rsidR="007C1EF0" w:rsidRPr="006836A0" w:rsidRDefault="007C1EF0" w:rsidP="005F0005">
            <w:pPr>
              <w:rPr>
                <w:color w:val="000000"/>
                <w:sz w:val="24"/>
                <w:szCs w:val="24"/>
                <w:lang w:val="uk-UA" w:eastAsia="uk-UA"/>
              </w:rPr>
            </w:pPr>
            <w:r>
              <w:rPr>
                <w:color w:val="000000"/>
                <w:sz w:val="24"/>
                <w:szCs w:val="24"/>
                <w:lang w:val="uk-UA" w:eastAsia="uk-UA"/>
              </w:rPr>
              <w:t>3880</w:t>
            </w:r>
          </w:p>
        </w:tc>
      </w:tr>
    </w:tbl>
    <w:p w:rsidR="007C1EF0" w:rsidRPr="00DB2577" w:rsidRDefault="007C1EF0" w:rsidP="007C1EF0">
      <w:pPr>
        <w:pStyle w:val="rvps9"/>
        <w:shd w:val="clear" w:color="auto" w:fill="FFFFFF"/>
        <w:spacing w:before="0" w:beforeAutospacing="0" w:after="0" w:afterAutospacing="0"/>
        <w:ind w:right="-2" w:firstLine="709"/>
        <w:jc w:val="both"/>
        <w:rPr>
          <w:b/>
          <w:bCs/>
          <w:color w:val="000000"/>
        </w:rPr>
      </w:pPr>
    </w:p>
    <w:p w:rsidR="008C1C0B" w:rsidRDefault="008C1C0B"/>
    <w:sectPr w:rsidR="008C1C0B" w:rsidSect="004A4D07">
      <w:headerReference w:type="even" r:id="rId4"/>
      <w:headerReference w:type="default" r:id="rId5"/>
      <w:footerReference w:type="even" r:id="rId6"/>
      <w:footerReference w:type="default" r:id="rId7"/>
      <w:pgSz w:w="11906" w:h="16838"/>
      <w:pgMar w:top="567" w:right="851" w:bottom="709" w:left="1701" w:header="425" w:footer="164"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7C1EF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10829" w:rsidRDefault="007C1EF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7C1EF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10829" w:rsidRDefault="007C1EF0"/>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7C1E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10829" w:rsidRDefault="007C1EF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7C1E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10829" w:rsidRDefault="007C1EF0" w:rsidP="004A4D07">
    <w:pPr>
      <w:pStyle w:val="a3"/>
      <w:tabs>
        <w:tab w:val="clear" w:pos="-1080"/>
      </w:tabs>
      <w:ind w:left="4536" w:right="360"/>
      <w:rPr>
        <w:i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1EF0"/>
    <w:rsid w:val="007C1EF0"/>
    <w:rsid w:val="008C1C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F0"/>
    <w:pPr>
      <w:spacing w:after="0" w:line="240" w:lineRule="auto"/>
    </w:pPr>
    <w:rPr>
      <w:rFonts w:eastAsia="Times New Roman"/>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EF0"/>
    <w:pPr>
      <w:keepLines/>
      <w:tabs>
        <w:tab w:val="left" w:pos="-1080"/>
        <w:tab w:val="center" w:pos="4320"/>
        <w:tab w:val="right" w:pos="9480"/>
      </w:tabs>
      <w:ind w:left="-1080" w:right="-1080"/>
    </w:pPr>
    <w:rPr>
      <w:rFonts w:ascii="Arial" w:hAnsi="Arial"/>
      <w:i/>
      <w:snapToGrid w:val="0"/>
    </w:rPr>
  </w:style>
  <w:style w:type="character" w:customStyle="1" w:styleId="a4">
    <w:name w:val="Верхній колонтитул Знак"/>
    <w:basedOn w:val="a0"/>
    <w:link w:val="a3"/>
    <w:rsid w:val="007C1EF0"/>
    <w:rPr>
      <w:rFonts w:ascii="Arial" w:eastAsia="Times New Roman" w:hAnsi="Arial"/>
      <w:i/>
      <w:snapToGrid w:val="0"/>
      <w:color w:val="auto"/>
      <w:sz w:val="20"/>
      <w:szCs w:val="20"/>
      <w:lang w:val="ru-RU" w:eastAsia="ru-RU"/>
    </w:rPr>
  </w:style>
  <w:style w:type="character" w:styleId="a5">
    <w:name w:val="page number"/>
    <w:basedOn w:val="a0"/>
    <w:rsid w:val="007C1EF0"/>
  </w:style>
  <w:style w:type="paragraph" w:styleId="a6">
    <w:name w:val="footer"/>
    <w:basedOn w:val="a"/>
    <w:link w:val="a7"/>
    <w:rsid w:val="007C1EF0"/>
    <w:pPr>
      <w:keepLines/>
      <w:tabs>
        <w:tab w:val="left" w:pos="-1080"/>
        <w:tab w:val="center" w:pos="4320"/>
        <w:tab w:val="right" w:pos="9480"/>
      </w:tabs>
      <w:spacing w:before="420"/>
      <w:ind w:left="-1080" w:right="-1080"/>
    </w:pPr>
    <w:rPr>
      <w:rFonts w:ascii="Arial" w:hAnsi="Arial"/>
      <w:b/>
      <w:snapToGrid w:val="0"/>
    </w:rPr>
  </w:style>
  <w:style w:type="character" w:customStyle="1" w:styleId="a7">
    <w:name w:val="Нижній колонтитул Знак"/>
    <w:basedOn w:val="a0"/>
    <w:link w:val="a6"/>
    <w:rsid w:val="007C1EF0"/>
    <w:rPr>
      <w:rFonts w:ascii="Arial" w:eastAsia="Times New Roman" w:hAnsi="Arial"/>
      <w:b/>
      <w:snapToGrid w:val="0"/>
      <w:color w:val="auto"/>
      <w:sz w:val="20"/>
      <w:szCs w:val="20"/>
      <w:lang w:val="ru-RU" w:eastAsia="ru-RU"/>
    </w:rPr>
  </w:style>
  <w:style w:type="paragraph" w:customStyle="1" w:styleId="rvps9">
    <w:name w:val="rvps9"/>
    <w:basedOn w:val="a"/>
    <w:rsid w:val="007C1EF0"/>
    <w:pPr>
      <w:spacing w:before="100" w:beforeAutospacing="1" w:after="100" w:afterAutospacing="1"/>
    </w:pPr>
    <w:rPr>
      <w:sz w:val="24"/>
      <w:szCs w:val="24"/>
      <w:lang w:val="uk-UA" w:eastAsia="uk-UA"/>
    </w:rPr>
  </w:style>
  <w:style w:type="character" w:customStyle="1" w:styleId="9">
    <w:name w:val="Основний текст (9)_"/>
    <w:basedOn w:val="a0"/>
    <w:link w:val="90"/>
    <w:rsid w:val="007C1EF0"/>
    <w:rPr>
      <w:rFonts w:eastAsia="Times New Roman"/>
      <w:sz w:val="21"/>
      <w:szCs w:val="21"/>
      <w:shd w:val="clear" w:color="auto" w:fill="FFFFFF"/>
    </w:rPr>
  </w:style>
  <w:style w:type="paragraph" w:customStyle="1" w:styleId="90">
    <w:name w:val="Основний текст (9)"/>
    <w:basedOn w:val="a"/>
    <w:link w:val="9"/>
    <w:rsid w:val="007C1EF0"/>
    <w:pPr>
      <w:widowControl w:val="0"/>
      <w:shd w:val="clear" w:color="auto" w:fill="FFFFFF"/>
      <w:spacing w:line="252" w:lineRule="exact"/>
    </w:pPr>
    <w:rPr>
      <w:color w:val="000000"/>
      <w:sz w:val="21"/>
      <w:szCs w:val="21"/>
      <w:lang w:val="uk-UA" w:eastAsia="en-US"/>
    </w:rPr>
  </w:style>
  <w:style w:type="character" w:customStyle="1" w:styleId="211pt1pt">
    <w:name w:val="Основний текст (2) + 11 pt;Інтервал 1 pt"/>
    <w:basedOn w:val="a0"/>
    <w:rsid w:val="007C1EF0"/>
    <w:rPr>
      <w:rFonts w:ascii="Times New Roman" w:eastAsia="Times New Roman" w:hAnsi="Times New Roman" w:cs="Times New Roman"/>
      <w:color w:val="000000"/>
      <w:spacing w:val="30"/>
      <w:w w:val="100"/>
      <w:position w:val="0"/>
      <w:sz w:val="22"/>
      <w:szCs w:val="22"/>
      <w:shd w:val="clear" w:color="auto" w:fill="FFFFFF"/>
      <w:lang w:val="uk-UA" w:eastAsia="uk-UA" w:bidi="uk-UA"/>
    </w:rPr>
  </w:style>
  <w:style w:type="paragraph" w:styleId="a8">
    <w:name w:val="No Spacing"/>
    <w:uiPriority w:val="1"/>
    <w:qFormat/>
    <w:rsid w:val="007C1EF0"/>
    <w:pPr>
      <w:widowControl w:val="0"/>
      <w:spacing w:after="0" w:line="240" w:lineRule="auto"/>
    </w:pPr>
    <w:rPr>
      <w:rFonts w:ascii="Arial Unicode MS" w:eastAsia="Arial Unicode MS" w:hAnsi="Arial Unicode MS" w:cs="Arial Unicode MS"/>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1141</Words>
  <Characters>8058</Characters>
  <Application>Microsoft Office Word</Application>
  <DocSecurity>0</DocSecurity>
  <Lines>244</Lines>
  <Paragraphs>97</Paragraphs>
  <ScaleCrop>false</ScaleCrop>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Olha Mokrynchuk</cp:lastModifiedBy>
  <cp:revision>1</cp:revision>
  <dcterms:created xsi:type="dcterms:W3CDTF">2019-08-06T13:07:00Z</dcterms:created>
  <dcterms:modified xsi:type="dcterms:W3CDTF">2019-08-06T13:08:00Z</dcterms:modified>
</cp:coreProperties>
</file>